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46" w:rsidRPr="00DC62B7" w:rsidRDefault="00DC62B7" w:rsidP="00DC62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2B7">
        <w:rPr>
          <w:rFonts w:ascii="Times New Roman" w:hAnsi="Times New Roman" w:cs="Times New Roman"/>
          <w:sz w:val="28"/>
          <w:szCs w:val="28"/>
        </w:rPr>
        <w:t>Для проведения практических занятий в нашей образовательной организации имеются 2 лаборантские: по химии и биологии, по физике. Согласно требованиям к оснащению образовательного процесса в соответствии с содержательным наполнением учебных предметов федерального государственного стандарта общего образования лаборантские комнаты оснащены на 80%.</w:t>
      </w:r>
    </w:p>
    <w:sectPr w:rsidR="00CD5146" w:rsidRPr="00D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7"/>
    <w:rsid w:val="00CD5146"/>
    <w:rsid w:val="00D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2022-05-25T13:55:00Z</dcterms:created>
  <dcterms:modified xsi:type="dcterms:W3CDTF">2022-05-25T13:55:00Z</dcterms:modified>
</cp:coreProperties>
</file>